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0" w:line="480"/>
        <w:jc w:val="left"/>
      </w:pPr>
      <w:r>
        <w:rPr>
          <w:rFonts w:ascii="Times New Roman" w:cs="Times New Roman" w:eastAsia="Times New Roman" w:hAnsi="Times New Roman"/>
          <w:b w:val="false"/>
          <w:bCs w:val="false"/>
          <w:i w:val="false"/>
          <w:iCs w:val="false"/>
          <w:sz w:val="24"/>
          <w:szCs w:val="24"/>
        </w:rPr>
        <w:t xml:space="preserve"/>
      </w:r>
    </w:p>
    <w:p>
      <w:pPr>
        <w:spacing w:after="0" w:before="0" w:line="480"/>
        <w:jc w:val="left"/>
      </w:pPr>
      <w:r>
        <w:rPr>
          <w:rFonts w:ascii="Times New Roman" w:cs="Times New Roman" w:eastAsia="Times New Roman" w:hAnsi="Times New Roman"/>
          <w:b w:val="false"/>
          <w:bCs w:val="false"/>
          <w:i w:val="false"/>
          <w:iCs w:val="false"/>
          <w:sz w:val="24"/>
          <w:szCs w:val="24"/>
        </w:rPr>
        <w:t xml:space="preserve"/>
      </w:r>
    </w:p>
    <w:p>
      <w:pPr>
        <w:spacing w:after="0" w:before="0" w:line="480"/>
        <w:jc w:val="left"/>
      </w:pPr>
      <w:r>
        <w:rPr>
          <w:rFonts w:ascii="Times New Roman" w:cs="Times New Roman" w:eastAsia="Times New Roman" w:hAnsi="Times New Roman"/>
          <w:b w:val="false"/>
          <w:bCs w:val="false"/>
          <w:i w:val="false"/>
          <w:iCs w:val="false"/>
          <w:sz w:val="24"/>
          <w:szCs w:val="24"/>
        </w:rPr>
        <w:t xml:space="preserve"/>
      </w:r>
    </w:p>
    <w:p>
      <w:pPr>
        <w:spacing w:after="0" w:before="0" w:line="480"/>
        <w:jc w:val="left"/>
      </w:pPr>
      <w:r>
        <w:rPr>
          <w:rFonts w:ascii="Times New Roman" w:cs="Times New Roman" w:eastAsia="Times New Roman" w:hAnsi="Times New Roman"/>
          <w:b w:val="false"/>
          <w:bCs w:val="false"/>
          <w:i w:val="false"/>
          <w:iCs w:val="false"/>
          <w:sz w:val="24"/>
          <w:szCs w:val="24"/>
        </w:rPr>
        <w:t xml:space="preserve"/>
      </w:r>
    </w:p>
    <w:p>
      <w:pPr>
        <w:spacing w:after="0" w:before="0" w:line="480"/>
        <w:jc w:val="center"/>
      </w:pPr>
      <w:r>
        <w:rPr>
          <w:rFonts w:ascii="Times New Roman" w:cs="Times New Roman" w:eastAsia="Times New Roman" w:hAnsi="Times New Roman"/>
          <w:b/>
          <w:bCs/>
          <w:i w:val="false"/>
          <w:iCs w:val="false"/>
          <w:sz w:val="24"/>
          <w:szCs w:val="24"/>
        </w:rPr>
        <w:t xml:space="preserve">Chapter 3: Methodology</w:t>
      </w:r>
    </w:p>
    <w:p>
      <w:pPr>
        <w:spacing w:after="0" w:before="0" w:line="480"/>
        <w:jc w:val="center"/>
      </w:pPr>
      <w:r>
        <w:rPr>
          <w:rFonts w:ascii="Times New Roman" w:cs="Times New Roman" w:eastAsia="Times New Roman" w:hAnsi="Times New Roman"/>
          <w:b/>
          <w:bCs/>
          <w:i w:val="false"/>
          <w:iCs w:val="false"/>
          <w:sz w:val="24"/>
          <w:szCs w:val="24"/>
        </w:rPr>
        <w:t xml:space="preserve">Reskilling Accounting Professionals for the AI Era:</w:t>
      </w:r>
    </w:p>
    <w:p>
      <w:pPr>
        <w:spacing w:after="0" w:before="0" w:line="480"/>
        <w:jc w:val="center"/>
      </w:pPr>
      <w:r>
        <w:rPr>
          <w:rFonts w:ascii="Times New Roman" w:cs="Times New Roman" w:eastAsia="Times New Roman" w:hAnsi="Times New Roman"/>
          <w:b/>
          <w:bCs/>
          <w:i w:val="false"/>
          <w:iCs w:val="false"/>
          <w:sz w:val="24"/>
          <w:szCs w:val="24"/>
        </w:rPr>
        <w:t xml:space="preserve">A Phenomenological Study</w:t>
      </w:r>
    </w:p>
    <w:p>
      <w:pPr>
        <w:spacing w:after="0" w:before="0" w:line="480"/>
        <w:jc w:val="left"/>
      </w:pPr>
      <w:r>
        <w:rPr>
          <w:rFonts w:ascii="Times New Roman" w:cs="Times New Roman" w:eastAsia="Times New Roman" w:hAnsi="Times New Roman"/>
          <w:b w:val="false"/>
          <w:bCs w:val="false"/>
          <w:i w:val="false"/>
          <w:iCs w:val="false"/>
          <w:sz w:val="24"/>
          <w:szCs w:val="24"/>
        </w:rPr>
        <w:t xml:space="preserve"/>
      </w:r>
    </w:p>
    <w:p>
      <w:pPr>
        <w:spacing w:after="0" w:before="0" w:line="480"/>
        <w:jc w:val="center"/>
      </w:pPr>
      <w:r>
        <w:rPr>
          <w:rFonts w:ascii="Times New Roman" w:cs="Times New Roman" w:eastAsia="Times New Roman" w:hAnsi="Times New Roman"/>
          <w:b w:val="false"/>
          <w:bCs w:val="false"/>
          <w:i w:val="false"/>
          <w:iCs w:val="false"/>
          <w:sz w:val="24"/>
          <w:szCs w:val="24"/>
        </w:rPr>
        <w:t xml:space="preserve">Ammar M. Ashour</w:t>
      </w:r>
    </w:p>
    <w:p>
      <w:pPr>
        <w:spacing w:after="0" w:before="0" w:line="480"/>
        <w:jc w:val="center"/>
      </w:pPr>
      <w:r>
        <w:rPr>
          <w:rFonts w:ascii="Times New Roman" w:cs="Times New Roman" w:eastAsia="Times New Roman" w:hAnsi="Times New Roman"/>
          <w:b w:val="false"/>
          <w:bCs w:val="false"/>
          <w:i w:val="false"/>
          <w:iCs w:val="false"/>
          <w:sz w:val="24"/>
          <w:szCs w:val="24"/>
        </w:rPr>
        <w:t xml:space="preserve">School of Business and Management, California Southern University</w:t>
      </w:r>
    </w:p>
    <w:p>
      <w:pPr>
        <w:spacing w:after="0" w:before="0" w:line="480"/>
        <w:jc w:val="center"/>
      </w:pPr>
      <w:r>
        <w:rPr>
          <w:rFonts w:ascii="Times New Roman" w:cs="Times New Roman" w:eastAsia="Times New Roman" w:hAnsi="Times New Roman"/>
          <w:b w:val="false"/>
          <w:bCs w:val="false"/>
          <w:i w:val="false"/>
          <w:iCs w:val="false"/>
          <w:sz w:val="24"/>
          <w:szCs w:val="24"/>
        </w:rPr>
        <w:t xml:space="preserve">Doctor of Business Administration Program</w:t>
      </w:r>
    </w:p>
    <w:p>
      <w:pPr>
        <w:spacing w:after="0" w:before="0" w:line="480"/>
        <w:jc w:val="center"/>
      </w:pPr>
      <w:r>
        <w:rPr>
          <w:rFonts w:ascii="Times New Roman" w:cs="Times New Roman" w:eastAsia="Times New Roman" w:hAnsi="Times New Roman"/>
          <w:b w:val="false"/>
          <w:bCs w:val="false"/>
          <w:i w:val="false"/>
          <w:iCs w:val="false"/>
          <w:sz w:val="24"/>
          <w:szCs w:val="24"/>
        </w:rPr>
        <w:t xml:space="preserve">Doctoral Project Chair: John C. Lofton III, PhD</w:t>
      </w:r>
    </w:p>
    <w:p>
      <w:pPr>
        <w:spacing w:after="0" w:before="0" w:line="480"/>
        <w:jc w:val="center"/>
      </w:pPr>
      <w:r>
        <w:rPr>
          <w:rFonts w:ascii="Times New Roman" w:cs="Times New Roman" w:eastAsia="Times New Roman" w:hAnsi="Times New Roman"/>
          <w:b w:val="false"/>
          <w:bCs w:val="false"/>
          <w:i w:val="false"/>
          <w:iCs w:val="false"/>
          <w:sz w:val="24"/>
          <w:szCs w:val="24"/>
        </w:rPr>
        <w:t xml:space="preserve">Committee Member: Cale Hall, DBA</w:t>
      </w:r>
    </w:p>
    <w:p>
      <w:pPr>
        <w:spacing w:after="0" w:before="0" w:line="480"/>
        <w:jc w:val="center"/>
      </w:pPr>
      <w:r>
        <w:rPr>
          <w:rFonts w:ascii="Times New Roman" w:cs="Times New Roman" w:eastAsia="Times New Roman" w:hAnsi="Times New Roman"/>
          <w:b w:val="false"/>
          <w:bCs w:val="false"/>
          <w:i w:val="false"/>
          <w:iCs w:val="false"/>
          <w:sz w:val="24"/>
          <w:szCs w:val="24"/>
        </w:rPr>
        <w:t xml:space="preserve">April 2026</w:t>
      </w:r>
    </w:p>
    <w:p>
      <w:r>
        <w:br w:type="page"/>
      </w:r>
    </w:p>
    <w:p>
      <w:pPr>
        <w:spacing w:after="0" w:before="0" w:line="480"/>
        <w:jc w:val="center"/>
      </w:pPr>
      <w:r>
        <w:rPr>
          <w:rFonts w:ascii="Times New Roman" w:cs="Times New Roman" w:eastAsia="Times New Roman" w:hAnsi="Times New Roman"/>
          <w:b/>
          <w:bCs/>
          <w:i w:val="false"/>
          <w:iCs w:val="false"/>
          <w:sz w:val="24"/>
          <w:szCs w:val="24"/>
        </w:rPr>
        <w:t xml:space="preserve">Chapter 3</w:t>
      </w:r>
    </w:p>
    <w:p>
      <w:pPr>
        <w:spacing w:after="0" w:before="0" w:line="480"/>
        <w:jc w:val="center"/>
      </w:pPr>
      <w:r>
        <w:rPr>
          <w:rFonts w:ascii="Times New Roman" w:cs="Times New Roman" w:eastAsia="Times New Roman" w:hAnsi="Times New Roman"/>
          <w:b/>
          <w:bCs/>
          <w:i w:val="false"/>
          <w:iCs w:val="false"/>
          <w:sz w:val="24"/>
          <w:szCs w:val="24"/>
        </w:rPr>
        <w:t xml:space="preserve">Methodology</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The accounting profession is absorbing artificial intelligence (AI) faster than it is preparing the people who must work alongside it. Firms are deploying generative tools, automated audit analytics, and machine learning in tax and reporting environments at a pace that outstrips their investment in structured, human centered reskilling (Choi &amp; Xie, 2025; Law &amp; Shen, 2025; Stratopoulos &amp; Wang, 2025). The imbalance is not merely operational. It shapes how accountants experience their own productivity, how they feel about the work they are doing, and how confidently they navigate the ethical terrain that AI increasingly puts in front of them (Greenman et al., 2024; Tiron-Tudor et al., 2025). Yet much of what is currently known about AI in accounting is told from the outside, through firm level performance metrics, labor market projections, and conceptual models, rather than from the vantage point of the professionals actually living the transition (Kokina et al., 2025). Any study that hopes to contribute something useful about reskilling, then, must be able to hear accountants describe that experience in their own language, and that requirement drives every methodological choice presented in this chapter.</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The purpose of this qualitative phenomenological study is to explore the lived experiences of mid to senior level licensed accountants in California who have participated in firm sponsored AI reskilling programs, with particular attention to perceived productivity, job satisfaction, and ethical policy awareness. Because the research questions ask what these experiences are, not how strongly they correlate with external outcomes, the methodology is deliberately oriented toward interpretive depth rather than statistical generalization (Alhazmi &amp; Kaufmann, 2022; van Manen, 2021). What follows restates the research questions guiding the study, explains the qualitative phenomenological design selected to answer them, and examines three alternative methodologies, namely a quantitative correlational design, a mixed methods convergent parallel design, and a qualitative case study design, that were carefully considered during design development and ultimately set aside. The goal of this chapter is not simply to defend a choice but to make the reasoning behind it legible to future readers who may want to replicate, extend, or productively challenge this work (Braun &amp; Clarke, 2023; Vagle, 2024).</w:t>
      </w:r>
    </w:p>
    <w:p>
      <w:pPr>
        <w:spacing w:after="0" w:before="0" w:line="480"/>
        <w:jc w:val="center"/>
      </w:pPr>
      <w:r>
        <w:rPr>
          <w:rFonts w:ascii="Times New Roman" w:cs="Times New Roman" w:eastAsia="Times New Roman" w:hAnsi="Times New Roman"/>
          <w:b/>
          <w:bCs/>
          <w:i w:val="false"/>
          <w:iCs w:val="false"/>
          <w:sz w:val="24"/>
          <w:szCs w:val="24"/>
        </w:rPr>
        <w:t xml:space="preserve">Research Questions</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The following research questions guide the study:</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RQ1: What are the lived experiences of mid to senior level accounting professionals who have completed firm sponsored AI reskilling programs, particularly regarding perceived productivity?</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RQ2: What are the lived experiences of mid to senior level accounting professionals who have completed firm sponsored AI reskilling programs, particularly regarding job satisfaction?</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RQ3: What are the lived experiences of mid to senior level accounting professionals who have completed firm sponsored AI reskilling programs, particularly regarding ethical awareness?</w:t>
      </w:r>
    </w:p>
    <w:p>
      <w:pPr>
        <w:spacing w:after="0" w:before="0" w:line="480"/>
        <w:jc w:val="center"/>
      </w:pPr>
      <w:r>
        <w:rPr>
          <w:rFonts w:ascii="Times New Roman" w:cs="Times New Roman" w:eastAsia="Times New Roman" w:hAnsi="Times New Roman"/>
          <w:b/>
          <w:bCs/>
          <w:i w:val="false"/>
          <w:iCs w:val="false"/>
          <w:sz w:val="24"/>
          <w:szCs w:val="24"/>
        </w:rPr>
        <w:t xml:space="preserve">Research Design</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This study adopts a qualitative research methodology employing a phenomenological research design, with reflexive thematic analysis as the analytic technique (Braun &amp; Clarke, 2022; van Manen, 2021). Qualitative methodology is the appropriate overarching approach because the study’s objective is to understand how accounting professionals subjectively interpret firm sponsored AI reskilling rather than to measure the statistical effect of reskilling on discrete performance variables (Alhazmi &amp; Kaufmann, 2022; Creswell &amp; Creswell, 2023). Phenomenology, within the qualitative tradition, is specifically concerned with uncovering the essence of lived experience, the meaning individuals assign to a shared phenomenon, and the structures through which that phenomenon is constituted in consciousness (Adatuu, 2026; Vagle, 2024; van Manen, 2021). Because the research questions explicitly target the lived experiences of reskilled accountants, a phenomenological design offers direct methodological congruence between the study’s purpose and its means of inquiry (Alhazmi &amp; Kaufmann, 2022).</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Data for the study will be generated through semi structured, one on one interviews with a purposefully sampled group of 7 to 15 licensed mid to senior level accountants in California who have completed firm sponsored AI reskilling programs within the past three years. The interview protocol is organized around the three research questions, uses open ended prompts to elicit descriptive accounts, and incorporates reflexive probes that invite participants to articulate how training experiences have shaped their perceptions of productivity, satisfaction, and ethical awareness in AI enabled practice. Consistent with Braun and Clarke’s (2022) reflexive thematic analysis, data will be coded iteratively across six recursive phases, namely familiarization, coding, generating initial themes, developing and reviewing themes, refining and defining themes, and writing up, while the researcher maintains a reflexive journal that documents analytical decisions, assumptions, and emergent interpretations (Byrne, 2022; Campbell et al., 2021).</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The justification for this design rests on four mutually reinforcing considerations. First, phenomenology aligns with the study’s epistemological position, which treats meaning as intersubjective, contextual, and partial rather than fixed or universally measurable (Alhazmi &amp; Kaufmann, 2022). Second, the design enables the interpretive depth required to capture how reskilled accountants experience the trust calibration, identity reshaping, and ethical reflection that accompany AI integration (Kokina et al., 2025; Stratopoulos &amp; Wang, 2025). Third, reflexive thematic analysis is a particularly strong analytic pairing with phenomenology because it enables researchers to generate patterned meaning across participants while foregrounding the active interpretive role of the researcher rather than claiming a posture of methodological neutrality (Braun &amp; Clarke, 2021, 2023). Fourth, the phenomenological design is methodologically congruent with the study’s theoretical framework, the Resource Based View (RBV), because it operationalizes human capital as an experientially developed capability rather than a surface level credential, thus extending RBV into the subjective dimensions of reskilling outcomes (Dwivedi et al., 2021; Gerhart &amp; Feng, 2021).</w:t>
      </w:r>
    </w:p>
    <w:p>
      <w:pPr>
        <w:spacing w:after="0" w:before="0" w:line="480"/>
        <w:jc w:val="center"/>
      </w:pPr>
      <w:r>
        <w:rPr>
          <w:rFonts w:ascii="Times New Roman" w:cs="Times New Roman" w:eastAsia="Times New Roman" w:hAnsi="Times New Roman"/>
          <w:b/>
          <w:bCs/>
          <w:i w:val="false"/>
          <w:iCs w:val="false"/>
          <w:sz w:val="24"/>
          <w:szCs w:val="24"/>
        </w:rPr>
        <w:t xml:space="preserve">Alternative Methodologies Considered and Rejected</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Before the qualitative phenomenological design was selected, three alternative methodologies were evaluated against the study’s research questions, purpose, population, and feasibility constraints. Each alternative was found to be inappropriate for the reasons outlined in the subsections that follow.</w:t>
      </w:r>
    </w:p>
    <w:p>
      <w:pPr>
        <w:spacing w:after="0" w:before="0" w:line="480"/>
        <w:jc w:val="left"/>
      </w:pPr>
      <w:r>
        <w:rPr>
          <w:rFonts w:ascii="Times New Roman" w:cs="Times New Roman" w:eastAsia="Times New Roman" w:hAnsi="Times New Roman"/>
          <w:b/>
          <w:bCs/>
          <w:i w:val="false"/>
          <w:iCs w:val="false"/>
          <w:sz w:val="24"/>
          <w:szCs w:val="24"/>
        </w:rPr>
        <w:t xml:space="preserve">Quantitative Correlational Design</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A quantitative correlational design was considered because of its capacity to measure statistical relationships between reskilling exposure and outcome variables such as self reported productivity scores, job satisfaction indices, and ethics awareness assessments across large samples of accounting professionals (Creswell &amp; Creswell, 2023). This design was rejected for three reasons. First, the research questions are oriented toward lived experience, the subjective dimensions of what it is like to undergo AI reskilling, rather than toward the covariation of discrete variables; reducing lived experience to standardized numeric indicators would strip away precisely the interpretive content the study aims to capture (Vagle, 2024; van Manen, 2021). Second, a correlational design cannot support the inductive, meaning centered inquiry that reflexive thematic analysis enables, because it predetermines variables rather than allowing themes to be generated from participants’ accounts (Braun &amp; Clarke, 2022). Third, the target population, namely licensed mid to senior level California accountants who have completed structured AI reskilling within the past three years, is both specialized and geographically bounded, which makes it difficult to obtain the statistical power and representativeness that correlational inference requires (Tiron-Tudor et al., 2025). Taken together, these limitations render a correlational design incompatible with the study’s interpretive goals.</w:t>
      </w:r>
    </w:p>
    <w:p>
      <w:pPr>
        <w:spacing w:after="0" w:before="0" w:line="480"/>
        <w:jc w:val="left"/>
      </w:pPr>
      <w:r>
        <w:rPr>
          <w:rFonts w:ascii="Times New Roman" w:cs="Times New Roman" w:eastAsia="Times New Roman" w:hAnsi="Times New Roman"/>
          <w:b/>
          <w:bCs/>
          <w:i w:val="false"/>
          <w:iCs w:val="false"/>
          <w:sz w:val="24"/>
          <w:szCs w:val="24"/>
        </w:rPr>
        <w:t xml:space="preserve">Mixed Methods Convergent Parallel Design</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A mixed methods convergent parallel design was also evaluated, reflecting its established utility for triangulating quantitative and qualitative data when both are required to answer a research problem (Creswell &amp; Plano Clark, 2023). In a convergent parallel approach, quantitative survey data and qualitative interview data are collected concurrently, analyzed independently, and merged at the interpretation stage to produce a more complete account of the phenomenon under study (Creswell &amp; Plano Clark, 2023; Johnson, 2025). This design was rejected for three reasons tied to study alignment, methodological coherence, and feasibility. First, the research questions do not require quantification; they ask what the lived experience is, not how strongly variables covary, and adding a quantitative strand would dilute the phenomenological focus without expanding explanatory reach (Alhazmi &amp; Kaufmann, 2022; Braun &amp; Clarke, 2023). Second, recent methodological evidence indicates that convergent designs frequently suffer from shallow integration, with many published studies failing to move beyond the juxtaposition of findings to genuine synthesis, which weakens the overall contribution of the research (Johnson, 2025). Third, as a single researcher doctoral project with a focused California based sample, a mixed methods design would impose substantial instrument development, sampling, and analytic burdens that would compete for the time and attention required to achieve interpretive depth in the qualitative strand (Creswell &amp; Plano Clark, 2023). For these reasons, mixed methods were determined to add cost without adding proportional value relative to the study’s specific aims.</w:t>
      </w:r>
    </w:p>
    <w:p>
      <w:pPr>
        <w:spacing w:after="0" w:before="0" w:line="480"/>
        <w:jc w:val="left"/>
      </w:pPr>
      <w:r>
        <w:rPr>
          <w:rFonts w:ascii="Times New Roman" w:cs="Times New Roman" w:eastAsia="Times New Roman" w:hAnsi="Times New Roman"/>
          <w:b/>
          <w:bCs/>
          <w:i w:val="false"/>
          <w:iCs w:val="false"/>
          <w:sz w:val="24"/>
          <w:szCs w:val="24"/>
        </w:rPr>
        <w:t xml:space="preserve">Qualitative Case Study Design</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A qualitative case study design was considered as an alternative within the qualitative family, because case study research is well suited to investigating contemporary phenomena within bounded, real world contexts through multiple data sources (Hancock et al., 2021; Priya, 2021). A single firm or multi firm case study could, in principle, examine how AI reskilling unfolds inside specific accounting organizations and how organizational features shape training outcomes. This design was rejected for three reasons. First, the unit of interest in this study is the individual accountant’s lived experience across firms rather than the firm itself as a bounded system, which inverts the analytic priority assumed by case study design (Hancock et al., 2021). Second, case study logic privileges contextual embeddedness and the triangulation of multiple sources such as documents, observations, archival records, and informants to understand a specific case, whereas phenomenology privileges the distillation of essence across participants who share a phenomenon regardless of their organizational setting (Priya, 2021; van Manen, 2021). Third, securing the access required for a credible case study, including firm level documentation, process observation, and multi informant interviews within specific organizations, is substantially more difficult than recruiting individual reskilled accountants through professional networks, and such access could compromise confidentiality in ways that discourage candid participation about ethically sensitive issues (Kokina et al., 2025). A case study therefore would both misalign with the research questions and introduce feasibility risks that a phenomenological design avoids.</w:t>
      </w:r>
    </w:p>
    <w:p>
      <w:pPr>
        <w:spacing w:after="0" w:before="0" w:line="480"/>
        <w:jc w:val="center"/>
      </w:pPr>
      <w:r>
        <w:rPr>
          <w:rFonts w:ascii="Times New Roman" w:cs="Times New Roman" w:eastAsia="Times New Roman" w:hAnsi="Times New Roman"/>
          <w:b/>
          <w:bCs/>
          <w:i w:val="false"/>
          <w:iCs w:val="false"/>
          <w:sz w:val="24"/>
          <w:szCs w:val="24"/>
        </w:rPr>
        <w:t xml:space="preserve">Chapter Summary</w:t>
      </w:r>
    </w:p>
    <w:p>
      <w:pPr>
        <w:spacing w:after="0" w:before="0" w:line="480"/>
        <w:ind w:firstLine="720"/>
        <w:jc w:val="left"/>
      </w:pPr>
      <w:r>
        <w:rPr>
          <w:rFonts w:ascii="Times New Roman" w:cs="Times New Roman" w:eastAsia="Times New Roman" w:hAnsi="Times New Roman"/>
          <w:b w:val="false"/>
          <w:bCs w:val="false"/>
          <w:i w:val="false"/>
          <w:iCs w:val="false"/>
          <w:sz w:val="24"/>
          <w:szCs w:val="24"/>
        </w:rPr>
        <w:t xml:space="preserve">This chapter established the methodological architecture for the study. The research problem and purpose were restated, the three research questions were listed, and the qualitative phenomenological research design with reflexive thematic analysis was identified as the most appropriate approach for exploring the lived experiences of mid to senior level California accountants who have participated in firm sponsored AI reskilling programs. Three alternative methodologies, namely quantitative correlational, mixed methods convergent parallel, and qualitative case study, were evaluated against the study’s research questions, population, and feasibility constraints and were found to be less suitable than the chosen phenomenological design. The remaining sections of this chapter will present the participant selection strategy, interview instrumentation, data collection procedures, data analysis plan, and ethical safeguards required to conduct the study with rigor, trustworthiness, and respect for participants (Braun &amp; Clarke, 2023; Campbell et al., 2021; Creswell &amp; Creswell, 2023).</w:t>
      </w:r>
    </w:p>
    <w:p>
      <w:r>
        <w:br w:type="page"/>
      </w:r>
    </w:p>
    <w:p>
      <w:pPr>
        <w:spacing w:after="0" w:before="0" w:line="480"/>
        <w:jc w:val="center"/>
      </w:pPr>
      <w:r>
        <w:rPr>
          <w:rFonts w:ascii="Times New Roman" w:cs="Times New Roman" w:eastAsia="Times New Roman" w:hAnsi="Times New Roman"/>
          <w:b/>
          <w:bCs/>
          <w:i w:val="false"/>
          <w:iCs w:val="false"/>
          <w:sz w:val="24"/>
          <w:szCs w:val="24"/>
        </w:rPr>
        <w:t xml:space="preserve">References</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Adatuu, R. (2026). Hermeneutic phenomenology as methodological practice: Interpreting lived experience in qualitative research. </w:t>
      </w:r>
      <w:r>
        <w:rPr>
          <w:rFonts w:ascii="Times New Roman" w:cs="Times New Roman" w:eastAsia="Times New Roman" w:hAnsi="Times New Roman"/>
          <w:b w:val="false"/>
          <w:bCs w:val="false"/>
          <w:i/>
          <w:iCs/>
          <w:sz w:val="24"/>
          <w:szCs w:val="24"/>
        </w:rPr>
        <w:t xml:space="preserve">African Quarterly Social Science Review, 3</w:t>
      </w:r>
      <w:r>
        <w:rPr>
          <w:rFonts w:ascii="Times New Roman" w:cs="Times New Roman" w:eastAsia="Times New Roman" w:hAnsi="Times New Roman"/>
          <w:b w:val="false"/>
          <w:bCs w:val="false"/>
          <w:i w:val="false"/>
          <w:iCs w:val="false"/>
          <w:sz w:val="24"/>
          <w:szCs w:val="24"/>
        </w:rPr>
        <w:t xml:space="preserve">(1), 107–120. https://doi.org/10.51867/AQSSR.3.1.10</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Alhazmi, A. A., &amp; Kaufmann, A. (2022). Phenomenological qualitative methods applied to the analysis of cross-cultural experience in novel educational social contexts. </w:t>
      </w:r>
      <w:r>
        <w:rPr>
          <w:rFonts w:ascii="Times New Roman" w:cs="Times New Roman" w:eastAsia="Times New Roman" w:hAnsi="Times New Roman"/>
          <w:b w:val="false"/>
          <w:bCs w:val="false"/>
          <w:i/>
          <w:iCs/>
          <w:sz w:val="24"/>
          <w:szCs w:val="24"/>
        </w:rPr>
        <w:t xml:space="preserve">Frontiers in Psychology, 13</w:t>
      </w:r>
      <w:r>
        <w:rPr>
          <w:rFonts w:ascii="Times New Roman" w:cs="Times New Roman" w:eastAsia="Times New Roman" w:hAnsi="Times New Roman"/>
          <w:b w:val="false"/>
          <w:bCs w:val="false"/>
          <w:i w:val="false"/>
          <w:iCs w:val="false"/>
          <w:sz w:val="24"/>
          <w:szCs w:val="24"/>
        </w:rPr>
        <w:t xml:space="preserve">, Article 785134. https://doi.org/10.3389/fpsyg.2022.785134</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Braun, V., &amp; Clarke, V. (2021). One size fits all? What counts as quality practice in (reflexive) thematic analysis? </w:t>
      </w:r>
      <w:r>
        <w:rPr>
          <w:rFonts w:ascii="Times New Roman" w:cs="Times New Roman" w:eastAsia="Times New Roman" w:hAnsi="Times New Roman"/>
          <w:b w:val="false"/>
          <w:bCs w:val="false"/>
          <w:i/>
          <w:iCs/>
          <w:sz w:val="24"/>
          <w:szCs w:val="24"/>
        </w:rPr>
        <w:t xml:space="preserve">Qualitative Research in Psychology, 18</w:t>
      </w:r>
      <w:r>
        <w:rPr>
          <w:rFonts w:ascii="Times New Roman" w:cs="Times New Roman" w:eastAsia="Times New Roman" w:hAnsi="Times New Roman"/>
          <w:b w:val="false"/>
          <w:bCs w:val="false"/>
          <w:i w:val="false"/>
          <w:iCs w:val="false"/>
          <w:sz w:val="24"/>
          <w:szCs w:val="24"/>
        </w:rPr>
        <w:t xml:space="preserve">(3), 328–352. https://doi.org/10.1080/14780887.2020.1769238</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Braun, V., &amp; Clarke, V. (2022). </w:t>
      </w:r>
      <w:r>
        <w:rPr>
          <w:rFonts w:ascii="Times New Roman" w:cs="Times New Roman" w:eastAsia="Times New Roman" w:hAnsi="Times New Roman"/>
          <w:b w:val="false"/>
          <w:bCs w:val="false"/>
          <w:i/>
          <w:iCs/>
          <w:sz w:val="24"/>
          <w:szCs w:val="24"/>
        </w:rPr>
        <w:t xml:space="preserve">Thematic analysis: A practical guide</w:t>
      </w:r>
      <w:r>
        <w:rPr>
          <w:rFonts w:ascii="Times New Roman" w:cs="Times New Roman" w:eastAsia="Times New Roman" w:hAnsi="Times New Roman"/>
          <w:b w:val="false"/>
          <w:bCs w:val="false"/>
          <w:i w:val="false"/>
          <w:iCs w:val="false"/>
          <w:sz w:val="24"/>
          <w:szCs w:val="24"/>
        </w:rPr>
        <w:t xml:space="preserve">. Sage.</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Braun, V., &amp; Clarke, V. (2023). Toward good practice in thematic analysis: Avoiding common problems and be(com)ing a knowing researcher. </w:t>
      </w:r>
      <w:r>
        <w:rPr>
          <w:rFonts w:ascii="Times New Roman" w:cs="Times New Roman" w:eastAsia="Times New Roman" w:hAnsi="Times New Roman"/>
          <w:b w:val="false"/>
          <w:bCs w:val="false"/>
          <w:i/>
          <w:iCs/>
          <w:sz w:val="24"/>
          <w:szCs w:val="24"/>
        </w:rPr>
        <w:t xml:space="preserve">International Journal of Transgender Health, 24</w:t>
      </w:r>
      <w:r>
        <w:rPr>
          <w:rFonts w:ascii="Times New Roman" w:cs="Times New Roman" w:eastAsia="Times New Roman" w:hAnsi="Times New Roman"/>
          <w:b w:val="false"/>
          <w:bCs w:val="false"/>
          <w:i w:val="false"/>
          <w:iCs w:val="false"/>
          <w:sz w:val="24"/>
          <w:szCs w:val="24"/>
        </w:rPr>
        <w:t xml:space="preserve">(1), 1–6. https://doi.org/10.1080/26895269.2022.2129597</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Byrne, D. (2022). A worked example of Braun and Clarke’s approach to reflexive thematic analysis. </w:t>
      </w:r>
      <w:r>
        <w:rPr>
          <w:rFonts w:ascii="Times New Roman" w:cs="Times New Roman" w:eastAsia="Times New Roman" w:hAnsi="Times New Roman"/>
          <w:b w:val="false"/>
          <w:bCs w:val="false"/>
          <w:i/>
          <w:iCs/>
          <w:sz w:val="24"/>
          <w:szCs w:val="24"/>
        </w:rPr>
        <w:t xml:space="preserve">Quality &amp; Quantity, 56</w:t>
      </w:r>
      <w:r>
        <w:rPr>
          <w:rFonts w:ascii="Times New Roman" w:cs="Times New Roman" w:eastAsia="Times New Roman" w:hAnsi="Times New Roman"/>
          <w:b w:val="false"/>
          <w:bCs w:val="false"/>
          <w:i w:val="false"/>
          <w:iCs w:val="false"/>
          <w:sz w:val="24"/>
          <w:szCs w:val="24"/>
        </w:rPr>
        <w:t xml:space="preserve">(3), 1391–1412. https://doi.org/10.1007/s11135-021-01182-y</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Campbell, K. A., Orr, E., Durepos, P., Nguyen, L., Li, L., Whitmore, C., Gehrke, P., Graham, L., &amp; Jack, S. M. (2021). Reflexive thematic analysis for applied qualitative health research. </w:t>
      </w:r>
      <w:r>
        <w:rPr>
          <w:rFonts w:ascii="Times New Roman" w:cs="Times New Roman" w:eastAsia="Times New Roman" w:hAnsi="Times New Roman"/>
          <w:b w:val="false"/>
          <w:bCs w:val="false"/>
          <w:i/>
          <w:iCs/>
          <w:sz w:val="24"/>
          <w:szCs w:val="24"/>
        </w:rPr>
        <w:t xml:space="preserve">The Qualitative Report, 26</w:t>
      </w:r>
      <w:r>
        <w:rPr>
          <w:rFonts w:ascii="Times New Roman" w:cs="Times New Roman" w:eastAsia="Times New Roman" w:hAnsi="Times New Roman"/>
          <w:b w:val="false"/>
          <w:bCs w:val="false"/>
          <w:i w:val="false"/>
          <w:iCs w:val="false"/>
          <w:sz w:val="24"/>
          <w:szCs w:val="24"/>
        </w:rPr>
        <w:t xml:space="preserve">(6), 2011–2028. https://doi.org/10.46743/2160-3715/2021.5010</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Choi, J., &amp; Xie, S. (2025). Generative AI in the accounting profession: Evidence from field interviews. </w:t>
      </w:r>
      <w:r>
        <w:rPr>
          <w:rFonts w:ascii="Times New Roman" w:cs="Times New Roman" w:eastAsia="Times New Roman" w:hAnsi="Times New Roman"/>
          <w:b w:val="false"/>
          <w:bCs w:val="false"/>
          <w:i/>
          <w:iCs/>
          <w:sz w:val="24"/>
          <w:szCs w:val="24"/>
        </w:rPr>
        <w:t xml:space="preserve">Accounting Horizons, 39</w:t>
      </w:r>
      <w:r>
        <w:rPr>
          <w:rFonts w:ascii="Times New Roman" w:cs="Times New Roman" w:eastAsia="Times New Roman" w:hAnsi="Times New Roman"/>
          <w:b w:val="false"/>
          <w:bCs w:val="false"/>
          <w:i w:val="false"/>
          <w:iCs w:val="false"/>
          <w:sz w:val="24"/>
          <w:szCs w:val="24"/>
        </w:rPr>
        <w:t xml:space="preserve">(2), 45–72. https://doi.org/10.2308/HORIZONS-2024-014</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Creswell, J. W., &amp; Creswell, J. D. (2023). </w:t>
      </w:r>
      <w:r>
        <w:rPr>
          <w:rFonts w:ascii="Times New Roman" w:cs="Times New Roman" w:eastAsia="Times New Roman" w:hAnsi="Times New Roman"/>
          <w:b w:val="false"/>
          <w:bCs w:val="false"/>
          <w:i/>
          <w:iCs/>
          <w:sz w:val="24"/>
          <w:szCs w:val="24"/>
        </w:rPr>
        <w:t xml:space="preserve">Research design: Qualitative, quantitative, and mixed methods approaches</w:t>
      </w:r>
      <w:r>
        <w:rPr>
          <w:rFonts w:ascii="Times New Roman" w:cs="Times New Roman" w:eastAsia="Times New Roman" w:hAnsi="Times New Roman"/>
          <w:b w:val="false"/>
          <w:bCs w:val="false"/>
          <w:i w:val="false"/>
          <w:iCs w:val="false"/>
          <w:sz w:val="24"/>
          <w:szCs w:val="24"/>
        </w:rPr>
        <w:t xml:space="preserve"> (6th ed.). Sage.</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Creswell, J. W., &amp; Plano Clark, V. L. (2023). </w:t>
      </w:r>
      <w:r>
        <w:rPr>
          <w:rFonts w:ascii="Times New Roman" w:cs="Times New Roman" w:eastAsia="Times New Roman" w:hAnsi="Times New Roman"/>
          <w:b w:val="false"/>
          <w:bCs w:val="false"/>
          <w:i/>
          <w:iCs/>
          <w:sz w:val="24"/>
          <w:szCs w:val="24"/>
        </w:rPr>
        <w:t xml:space="preserve">Designing and conducting mixed methods research</w:t>
      </w:r>
      <w:r>
        <w:rPr>
          <w:rFonts w:ascii="Times New Roman" w:cs="Times New Roman" w:eastAsia="Times New Roman" w:hAnsi="Times New Roman"/>
          <w:b w:val="false"/>
          <w:bCs w:val="false"/>
          <w:i w:val="false"/>
          <w:iCs w:val="false"/>
          <w:sz w:val="24"/>
          <w:szCs w:val="24"/>
        </w:rPr>
        <w:t xml:space="preserve"> (3rd ed., reprint). Sage.</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Dwivedi, Y. K., Hughes, L., Ismagilova, E., Aarts, G., Coombs, C., Crick, T., Duan, Y., Dwivedi, R., Edwards, J., Eyoun, A., Hajli, N., Koohang, A., Raghavan, V., Rana, N. P., Sharma, S. K., Sivarajah, U., Slade, E. L., Wang, Y., Wastell, D., &amp; Williams, M. D. (2021). Artificial Intelligence (AI): Multidisciplinary perspectives on emerging challenges, opportunities, and agenda for research, practice and policy. </w:t>
      </w:r>
      <w:r>
        <w:rPr>
          <w:rFonts w:ascii="Times New Roman" w:cs="Times New Roman" w:eastAsia="Times New Roman" w:hAnsi="Times New Roman"/>
          <w:b w:val="false"/>
          <w:bCs w:val="false"/>
          <w:i/>
          <w:iCs/>
          <w:sz w:val="24"/>
          <w:szCs w:val="24"/>
        </w:rPr>
        <w:t xml:space="preserve">International Journal of Information Management, 57</w:t>
      </w:r>
      <w:r>
        <w:rPr>
          <w:rFonts w:ascii="Times New Roman" w:cs="Times New Roman" w:eastAsia="Times New Roman" w:hAnsi="Times New Roman"/>
          <w:b w:val="false"/>
          <w:bCs w:val="false"/>
          <w:i w:val="false"/>
          <w:iCs w:val="false"/>
          <w:sz w:val="24"/>
          <w:szCs w:val="24"/>
        </w:rPr>
        <w:t xml:space="preserve">, Article 101994. https://doi.org/10.1016/j.ijinfomgt.2019.08.002</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Gerhart, B., &amp; Feng, J. (2021). The resource-based view of the firm, human resources, and human capital: Progress and prospects. </w:t>
      </w:r>
      <w:r>
        <w:rPr>
          <w:rFonts w:ascii="Times New Roman" w:cs="Times New Roman" w:eastAsia="Times New Roman" w:hAnsi="Times New Roman"/>
          <w:b w:val="false"/>
          <w:bCs w:val="false"/>
          <w:i/>
          <w:iCs/>
          <w:sz w:val="24"/>
          <w:szCs w:val="24"/>
        </w:rPr>
        <w:t xml:space="preserve">Journal of Management, 47</w:t>
      </w:r>
      <w:r>
        <w:rPr>
          <w:rFonts w:ascii="Times New Roman" w:cs="Times New Roman" w:eastAsia="Times New Roman" w:hAnsi="Times New Roman"/>
          <w:b w:val="false"/>
          <w:bCs w:val="false"/>
          <w:i w:val="false"/>
          <w:iCs w:val="false"/>
          <w:sz w:val="24"/>
          <w:szCs w:val="24"/>
        </w:rPr>
        <w:t xml:space="preserve">(7), 1796–1819. https://doi.org/10.1177/0149206320978799</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Greenman, C., Ginter, D., &amp; Raiborn, C. (2024). Artificial intelligence and the future of accounting: Workforce implications for the next decade. </w:t>
      </w:r>
      <w:r>
        <w:rPr>
          <w:rFonts w:ascii="Times New Roman" w:cs="Times New Roman" w:eastAsia="Times New Roman" w:hAnsi="Times New Roman"/>
          <w:b w:val="false"/>
          <w:bCs w:val="false"/>
          <w:i/>
          <w:iCs/>
          <w:sz w:val="24"/>
          <w:szCs w:val="24"/>
        </w:rPr>
        <w:t xml:space="preserve">Journal of Corporate Accounting &amp; Finance, 35</w:t>
      </w:r>
      <w:r>
        <w:rPr>
          <w:rFonts w:ascii="Times New Roman" w:cs="Times New Roman" w:eastAsia="Times New Roman" w:hAnsi="Times New Roman"/>
          <w:b w:val="false"/>
          <w:bCs w:val="false"/>
          <w:i w:val="false"/>
          <w:iCs w:val="false"/>
          <w:sz w:val="24"/>
          <w:szCs w:val="24"/>
        </w:rPr>
        <w:t xml:space="preserve">(2), 105–118. https://doi.org/10.1002/jcaf.22678</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Hancock, D. R., Algozzine, B., &amp; Lim, J. H. (2021). </w:t>
      </w:r>
      <w:r>
        <w:rPr>
          <w:rFonts w:ascii="Times New Roman" w:cs="Times New Roman" w:eastAsia="Times New Roman" w:hAnsi="Times New Roman"/>
          <w:b w:val="false"/>
          <w:bCs w:val="false"/>
          <w:i/>
          <w:iCs/>
          <w:sz w:val="24"/>
          <w:szCs w:val="24"/>
        </w:rPr>
        <w:t xml:space="preserve">Doing case study research: A practical guide for beginning researchers</w:t>
      </w:r>
      <w:r>
        <w:rPr>
          <w:rFonts w:ascii="Times New Roman" w:cs="Times New Roman" w:eastAsia="Times New Roman" w:hAnsi="Times New Roman"/>
          <w:b w:val="false"/>
          <w:bCs w:val="false"/>
          <w:i w:val="false"/>
          <w:iCs w:val="false"/>
          <w:sz w:val="24"/>
          <w:szCs w:val="24"/>
        </w:rPr>
        <w:t xml:space="preserve"> (4th ed.). Teachers College Press.</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Johnson, R. B. (2025). A failure to converge? The use of convergent designs in mixed methods research. </w:t>
      </w:r>
      <w:r>
        <w:rPr>
          <w:rFonts w:ascii="Times New Roman" w:cs="Times New Roman" w:eastAsia="Times New Roman" w:hAnsi="Times New Roman"/>
          <w:b w:val="false"/>
          <w:bCs w:val="false"/>
          <w:i/>
          <w:iCs/>
          <w:sz w:val="24"/>
          <w:szCs w:val="24"/>
        </w:rPr>
        <w:t xml:space="preserve">International Journal of Social Research Methodology</w:t>
      </w:r>
      <w:r>
        <w:rPr>
          <w:rFonts w:ascii="Times New Roman" w:cs="Times New Roman" w:eastAsia="Times New Roman" w:hAnsi="Times New Roman"/>
          <w:b w:val="false"/>
          <w:bCs w:val="false"/>
          <w:i w:val="false"/>
          <w:iCs w:val="false"/>
          <w:sz w:val="24"/>
          <w:szCs w:val="24"/>
        </w:rPr>
        <w:t xml:space="preserve">. Advance online publication. https://doi.org/10.1080/13645579.2025.2605485</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Kokina, J., Blanchette, S., Davenport, T. H., &amp; Pachamanova, D. (2025). Challenges and opportunities for artificial intelligence in auditing: Evidence from the field. </w:t>
      </w:r>
      <w:r>
        <w:rPr>
          <w:rFonts w:ascii="Times New Roman" w:cs="Times New Roman" w:eastAsia="Times New Roman" w:hAnsi="Times New Roman"/>
          <w:b w:val="false"/>
          <w:bCs w:val="false"/>
          <w:i/>
          <w:iCs/>
          <w:sz w:val="24"/>
          <w:szCs w:val="24"/>
        </w:rPr>
        <w:t xml:space="preserve">International Journal of Accounting Information Systems, 56</w:t>
      </w:r>
      <w:r>
        <w:rPr>
          <w:rFonts w:ascii="Times New Roman" w:cs="Times New Roman" w:eastAsia="Times New Roman" w:hAnsi="Times New Roman"/>
          <w:b w:val="false"/>
          <w:bCs w:val="false"/>
          <w:i w:val="false"/>
          <w:iCs w:val="false"/>
          <w:sz w:val="24"/>
          <w:szCs w:val="24"/>
        </w:rPr>
        <w:t xml:space="preserve">, Article 100734. https://doi.org/10.1016/j.accinf.2024.100734</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Law, K. K. F., &amp; Shen, M. (2025). How does artificial intelligence shape audit firms? </w:t>
      </w:r>
      <w:r>
        <w:rPr>
          <w:rFonts w:ascii="Times New Roman" w:cs="Times New Roman" w:eastAsia="Times New Roman" w:hAnsi="Times New Roman"/>
          <w:b w:val="false"/>
          <w:bCs w:val="false"/>
          <w:i/>
          <w:iCs/>
          <w:sz w:val="24"/>
          <w:szCs w:val="24"/>
        </w:rPr>
        <w:t xml:space="preserve">Management Science, 71</w:t>
      </w:r>
      <w:r>
        <w:rPr>
          <w:rFonts w:ascii="Times New Roman" w:cs="Times New Roman" w:eastAsia="Times New Roman" w:hAnsi="Times New Roman"/>
          <w:b w:val="false"/>
          <w:bCs w:val="false"/>
          <w:i w:val="false"/>
          <w:iCs w:val="false"/>
          <w:sz w:val="24"/>
          <w:szCs w:val="24"/>
        </w:rPr>
        <w:t xml:space="preserve">(4), 2965–2988. https://doi.org/10.1287/mnsc.2023.01568</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Priya, A. (2021). Case study methodology of qualitative research: Key attributes and navigating the conundrums in its application. </w:t>
      </w:r>
      <w:r>
        <w:rPr>
          <w:rFonts w:ascii="Times New Roman" w:cs="Times New Roman" w:eastAsia="Times New Roman" w:hAnsi="Times New Roman"/>
          <w:b w:val="false"/>
          <w:bCs w:val="false"/>
          <w:i/>
          <w:iCs/>
          <w:sz w:val="24"/>
          <w:szCs w:val="24"/>
        </w:rPr>
        <w:t xml:space="preserve">Sociological Bulletin, 70</w:t>
      </w:r>
      <w:r>
        <w:rPr>
          <w:rFonts w:ascii="Times New Roman" w:cs="Times New Roman" w:eastAsia="Times New Roman" w:hAnsi="Times New Roman"/>
          <w:b w:val="false"/>
          <w:bCs w:val="false"/>
          <w:i w:val="false"/>
          <w:iCs w:val="false"/>
          <w:sz w:val="24"/>
          <w:szCs w:val="24"/>
        </w:rPr>
        <w:t xml:space="preserve">(1), 94–110. https://doi.org/10.1177/0038022920970318</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Stratopoulos, T. C., &amp; Wang, V. X. (2025). Artificial intelligence in accounting research: Current state and a research agenda. </w:t>
      </w:r>
      <w:r>
        <w:rPr>
          <w:rFonts w:ascii="Times New Roman" w:cs="Times New Roman" w:eastAsia="Times New Roman" w:hAnsi="Times New Roman"/>
          <w:b w:val="false"/>
          <w:bCs w:val="false"/>
          <w:i/>
          <w:iCs/>
          <w:sz w:val="24"/>
          <w:szCs w:val="24"/>
        </w:rPr>
        <w:t xml:space="preserve">Journal of Information Systems, 39</w:t>
      </w:r>
      <w:r>
        <w:rPr>
          <w:rFonts w:ascii="Times New Roman" w:cs="Times New Roman" w:eastAsia="Times New Roman" w:hAnsi="Times New Roman"/>
          <w:b w:val="false"/>
          <w:bCs w:val="false"/>
          <w:i w:val="false"/>
          <w:iCs w:val="false"/>
          <w:sz w:val="24"/>
          <w:szCs w:val="24"/>
        </w:rPr>
        <w:t xml:space="preserve">(1), 141–164. https://doi.org/10.2308/ISYS-2023-012</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Tiron-Tudor, A., Deliu, D., Farcane, N., &amp; Dontu, A. (2025). Reskilling accountants for the artificial intelligence era: The skills gap between employer expectations and professional self-perception. </w:t>
      </w:r>
      <w:r>
        <w:rPr>
          <w:rFonts w:ascii="Times New Roman" w:cs="Times New Roman" w:eastAsia="Times New Roman" w:hAnsi="Times New Roman"/>
          <w:b w:val="false"/>
          <w:bCs w:val="false"/>
          <w:i/>
          <w:iCs/>
          <w:sz w:val="24"/>
          <w:szCs w:val="24"/>
        </w:rPr>
        <w:t xml:space="preserve">Journal of Accounting Education, 70</w:t>
      </w:r>
      <w:r>
        <w:rPr>
          <w:rFonts w:ascii="Times New Roman" w:cs="Times New Roman" w:eastAsia="Times New Roman" w:hAnsi="Times New Roman"/>
          <w:b w:val="false"/>
          <w:bCs w:val="false"/>
          <w:i w:val="false"/>
          <w:iCs w:val="false"/>
          <w:sz w:val="24"/>
          <w:szCs w:val="24"/>
        </w:rPr>
        <w:t xml:space="preserve">, Article 100907. https://doi.org/10.1016/j.jaccedu.2025.100907</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Vagle, M. D. (2024). </w:t>
      </w:r>
      <w:r>
        <w:rPr>
          <w:rFonts w:ascii="Times New Roman" w:cs="Times New Roman" w:eastAsia="Times New Roman" w:hAnsi="Times New Roman"/>
          <w:b w:val="false"/>
          <w:bCs w:val="false"/>
          <w:i/>
          <w:iCs/>
          <w:sz w:val="24"/>
          <w:szCs w:val="24"/>
        </w:rPr>
        <w:t xml:space="preserve">Crafting phenomenological research</w:t>
      </w:r>
      <w:r>
        <w:rPr>
          <w:rFonts w:ascii="Times New Roman" w:cs="Times New Roman" w:eastAsia="Times New Roman" w:hAnsi="Times New Roman"/>
          <w:b w:val="false"/>
          <w:bCs w:val="false"/>
          <w:i w:val="false"/>
          <w:iCs w:val="false"/>
          <w:sz w:val="24"/>
          <w:szCs w:val="24"/>
        </w:rPr>
        <w:t xml:space="preserve"> (3rd ed.). Routledge.</w:t>
      </w:r>
    </w:p>
    <w:p>
      <w:pPr>
        <w:spacing w:after="0" w:before="0" w:line="480"/>
        <w:ind w:left="720" w:hanging="720"/>
      </w:pPr>
      <w:r>
        <w:rPr>
          <w:rFonts w:ascii="Times New Roman" w:cs="Times New Roman" w:eastAsia="Times New Roman" w:hAnsi="Times New Roman"/>
          <w:b w:val="false"/>
          <w:bCs w:val="false"/>
          <w:i w:val="false"/>
          <w:iCs w:val="false"/>
          <w:sz w:val="24"/>
          <w:szCs w:val="24"/>
        </w:rPr>
        <w:t xml:space="preserve">van Manen, M. (2021). Doing phenomenological research and writing. </w:t>
      </w:r>
      <w:r>
        <w:rPr>
          <w:rFonts w:ascii="Times New Roman" w:cs="Times New Roman" w:eastAsia="Times New Roman" w:hAnsi="Times New Roman"/>
          <w:b w:val="false"/>
          <w:bCs w:val="false"/>
          <w:i/>
          <w:iCs/>
          <w:sz w:val="24"/>
          <w:szCs w:val="24"/>
        </w:rPr>
        <w:t xml:space="preserve">Qualitative Health Research, 31</w:t>
      </w:r>
      <w:r>
        <w:rPr>
          <w:rFonts w:ascii="Times New Roman" w:cs="Times New Roman" w:eastAsia="Times New Roman" w:hAnsi="Times New Roman"/>
          <w:b w:val="false"/>
          <w:bCs w:val="false"/>
          <w:i w:val="false"/>
          <w:iCs w:val="false"/>
          <w:sz w:val="24"/>
          <w:szCs w:val="24"/>
        </w:rPr>
        <w:t xml:space="preserve">(6), 1069–1082. https://doi.org/10.1177/10497323211003058</w:t>
      </w:r>
    </w:p>
    <w:sectPr>
      <w:head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Times New Roman" w:cs="Times New Roman" w:eastAsia="Times New Roman" w:hAnsi="Times New Roman"/>
        <w:sz w:val="24"/>
        <w:szCs w:val="24"/>
      </w:rPr>
      <w:fldChar w:fldCharType="begin"/>
      <w:instrText xml:space="preserve">PAGE</w:instrText>
      <w:fldChar w:fldCharType="separate"/>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cs="Times New Roman" w:eastAsia="Times New Roman" w:hAnsi="Times New Roman"/>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3: Methodology - Reskilling Accounting Professionals for the AI Era</dc:title>
  <dc:creator>Ammar M. Ashour</dc:creator>
  <cp:lastModifiedBy>Un-named</cp:lastModifiedBy>
  <cp:revision>1</cp:revision>
  <dcterms:created xsi:type="dcterms:W3CDTF">2026-04-18T18:48:26.092Z</dcterms:created>
  <dcterms:modified xsi:type="dcterms:W3CDTF">2026-04-18T18:48:26.093Z</dcterms:modified>
</cp:coreProperties>
</file>

<file path=docProps/custom.xml><?xml version="1.0" encoding="utf-8"?>
<Properties xmlns="http://schemas.openxmlformats.org/officeDocument/2006/custom-properties" xmlns:vt="http://schemas.openxmlformats.org/officeDocument/2006/docPropsVTypes"/>
</file>